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templates-checklists"/>
    <w:p>
      <w:pPr>
        <w:pStyle w:val="Heading1"/>
        <w:keepNext/>
        <w:keepLines/>
      </w:pPr>
      <w:r>
        <w:t xml:space="preserve">Templates &amp; Checklists</w:t>
      </w:r>
    </w:p>
    <w:p>
      <w:pPr>
        <w:pStyle w:val="FirstParagraph"/>
      </w:pPr>
      <w:r>
        <w:t xml:space="preserve">Checklists and templates: design, code review, definition of done and ready, defects, ADRs and RFCs.</w:t>
      </w:r>
    </w:p>
    <w:p>
      <w:pPr>
        <w:pStyle w:val="BodyText"/>
      </w:pPr>
      <w:r>
        <w:t xml:space="preserve">This section is moving in from site-web-content-src’s Templates, EngineeringProcess’s templates and technical-documentation’s checklists.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&amp; Checklists</dc:title>
  <dc:creator>Mark Bacon</dc:creator>
  <cp:keywords/>
  <dcterms:created xsi:type="dcterms:W3CDTF">2026-10-16T19:30:43Z</dcterms:created>
  <dcterms:modified xsi:type="dcterms:W3CDTF">2026-10-16T19:30:43Z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