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primers"/>
    <w:p>
      <w:pPr>
        <w:pStyle w:val="Heading1"/>
        <w:keepNext/>
        <w:keepLines/>
      </w:pPr>
      <w:r>
        <w:t xml:space="preserve">Primers</w:t>
      </w:r>
    </w:p>
    <w:p>
      <w:pPr>
        <w:pStyle w:val="FirstParagraph"/>
      </w:pPr>
      <w:r>
        <w:t xml:space="preserve">Short introductions to architecture, cloud, IoT, security, tools and methods: the Tech 101s.</w:t>
      </w:r>
    </w:p>
    <w:p>
      <w:pPr>
        <w:pStyle w:val="BodyText"/>
      </w:pPr>
      <w:r>
        <w:t xml:space="preserve">This section is moving in from technical-documentation’s primers and site-web-content-src’s Tech 101s.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Primers</dc:title>
  <dc:creator>Mark Bacon</dc:creator>
  <cp:keywords/>
  <dcterms:created xsi:type="dcterms:W3CDTF">2026-10-16T19:30:32Z</dcterms:created>
  <dcterms:modified xsi:type="dcterms:W3CDTF">2026-10-16T19:30:32Z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